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156" w:rsidRPr="002B09F2" w:rsidRDefault="008E7F54" w:rsidP="008E7F54">
      <w:pPr>
        <w:spacing w:after="0" w:line="240" w:lineRule="auto"/>
        <w:jc w:val="center"/>
        <w:rPr>
          <w:b/>
          <w:sz w:val="28"/>
          <w:szCs w:val="28"/>
        </w:rPr>
      </w:pPr>
      <w:r w:rsidRPr="002B09F2">
        <w:rPr>
          <w:b/>
          <w:sz w:val="28"/>
          <w:szCs w:val="28"/>
        </w:rPr>
        <w:t>Felhasználói segédlet</w:t>
      </w:r>
    </w:p>
    <w:p w:rsidR="008E7F54" w:rsidRPr="002B09F2" w:rsidRDefault="008E7F54" w:rsidP="008E7F54">
      <w:pPr>
        <w:spacing w:after="0" w:line="240" w:lineRule="auto"/>
        <w:jc w:val="center"/>
        <w:rPr>
          <w:b/>
          <w:sz w:val="28"/>
          <w:szCs w:val="28"/>
        </w:rPr>
      </w:pPr>
      <w:proofErr w:type="gramStart"/>
      <w:r w:rsidRPr="002B09F2">
        <w:rPr>
          <w:b/>
          <w:sz w:val="28"/>
          <w:szCs w:val="28"/>
        </w:rPr>
        <w:t>a</w:t>
      </w:r>
      <w:proofErr w:type="gramEnd"/>
      <w:r w:rsidRPr="002B09F2">
        <w:rPr>
          <w:b/>
          <w:sz w:val="28"/>
          <w:szCs w:val="28"/>
        </w:rPr>
        <w:t xml:space="preserve"> 2018.02.02.-én telepített újdonságokról</w:t>
      </w:r>
    </w:p>
    <w:p w:rsidR="008E7F54" w:rsidRDefault="008E7F54" w:rsidP="008E7F54">
      <w:pPr>
        <w:spacing w:after="0" w:line="240" w:lineRule="auto"/>
        <w:jc w:val="center"/>
      </w:pPr>
    </w:p>
    <w:p w:rsidR="00D773AB" w:rsidRDefault="00D773AB" w:rsidP="008E7F54">
      <w:pPr>
        <w:spacing w:after="0" w:line="240" w:lineRule="auto"/>
        <w:jc w:val="center"/>
      </w:pPr>
    </w:p>
    <w:sdt>
      <w:sdtP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id w:val="-1031104081"/>
        <w:docPartObj>
          <w:docPartGallery w:val="Table of Contents"/>
          <w:docPartUnique/>
        </w:docPartObj>
      </w:sdtPr>
      <w:sdtEndPr/>
      <w:sdtContent>
        <w:p w:rsidR="00BB1443" w:rsidRDefault="00BB1443" w:rsidP="00BB1443">
          <w:pPr>
            <w:pStyle w:val="Tartalomjegyzkcmsora"/>
            <w:numPr>
              <w:ilvl w:val="0"/>
              <w:numId w:val="0"/>
            </w:numPr>
            <w:ind w:left="360" w:hanging="360"/>
          </w:pPr>
          <w:r>
            <w:t>Tartalom</w:t>
          </w:r>
        </w:p>
        <w:p w:rsidR="00BB1443" w:rsidRDefault="00BB1443">
          <w:pPr>
            <w:pStyle w:val="TJ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r w:rsidRPr="00BB1443">
            <w:fldChar w:fldCharType="begin"/>
          </w:r>
          <w:r>
            <w:instrText xml:space="preserve"> TOC \o "1-3" \h \z \u </w:instrText>
          </w:r>
          <w:r w:rsidRPr="00BB1443">
            <w:fldChar w:fldCharType="separate"/>
          </w:r>
          <w:hyperlink w:anchor="_Toc505592914" w:history="1">
            <w:r w:rsidRPr="00933684">
              <w:rPr>
                <w:rStyle w:val="Hiperhivatkozs"/>
                <w:noProof/>
              </w:rPr>
              <w:t>1.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933684">
              <w:rPr>
                <w:rStyle w:val="Hiperhivatkozs"/>
                <w:noProof/>
              </w:rPr>
              <w:t>Szociális hozzájárulási adó mértékének meghatározása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_Toc505592914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B1443" w:rsidRDefault="00F7292B">
          <w:pPr>
            <w:pStyle w:val="TJ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505592915" w:history="1">
            <w:r w:rsidR="00BB1443" w:rsidRPr="00933684">
              <w:rPr>
                <w:rStyle w:val="Hiperhivatkozs"/>
                <w:noProof/>
              </w:rPr>
              <w:t>2.</w:t>
            </w:r>
            <w:r w:rsidR="00BB1443">
              <w:rPr>
                <w:rFonts w:eastAsiaTheme="minorEastAsia"/>
                <w:noProof/>
                <w:lang w:eastAsia="hu-HU"/>
              </w:rPr>
              <w:tab/>
            </w:r>
            <w:r w:rsidR="00BB1443" w:rsidRPr="00933684">
              <w:rPr>
                <w:rStyle w:val="Hiperhivatkozs"/>
                <w:noProof/>
              </w:rPr>
              <w:t>2017. évi el nem számolt tételek átcsoportosítása</w:t>
            </w:r>
            <w:r w:rsidR="00BB1443">
              <w:rPr>
                <w:noProof/>
                <w:webHidden/>
              </w:rPr>
              <w:tab/>
            </w:r>
            <w:r w:rsidR="00BB1443">
              <w:rPr>
                <w:noProof/>
                <w:webHidden/>
              </w:rPr>
              <w:fldChar w:fldCharType="begin"/>
            </w:r>
            <w:r w:rsidR="00BB1443">
              <w:rPr>
                <w:noProof/>
                <w:webHidden/>
              </w:rPr>
              <w:instrText xml:space="preserve"> PAGEREF _Toc505592915 \h </w:instrText>
            </w:r>
            <w:r w:rsidR="00BB1443">
              <w:rPr>
                <w:noProof/>
                <w:webHidden/>
              </w:rPr>
            </w:r>
            <w:r w:rsidR="00BB1443">
              <w:rPr>
                <w:noProof/>
                <w:webHidden/>
              </w:rPr>
              <w:fldChar w:fldCharType="separate"/>
            </w:r>
            <w:r w:rsidR="00BB1443">
              <w:rPr>
                <w:noProof/>
                <w:webHidden/>
              </w:rPr>
              <w:t>2</w:t>
            </w:r>
            <w:r w:rsidR="00BB1443">
              <w:rPr>
                <w:noProof/>
                <w:webHidden/>
              </w:rPr>
              <w:fldChar w:fldCharType="end"/>
            </w:r>
          </w:hyperlink>
        </w:p>
        <w:p w:rsidR="00BB1443" w:rsidRDefault="00F7292B" w:rsidP="00D773AB">
          <w:pPr>
            <w:pStyle w:val="TJ1"/>
            <w:tabs>
              <w:tab w:val="left" w:pos="440"/>
              <w:tab w:val="right" w:leader="dot" w:pos="9062"/>
            </w:tabs>
          </w:pPr>
          <w:hyperlink w:anchor="_Toc505592916" w:history="1">
            <w:r w:rsidR="00BB1443" w:rsidRPr="00933684">
              <w:rPr>
                <w:rStyle w:val="Hiperhivatkozs"/>
                <w:noProof/>
              </w:rPr>
              <w:t>3.</w:t>
            </w:r>
            <w:r w:rsidR="00BB1443">
              <w:rPr>
                <w:rFonts w:eastAsiaTheme="minorEastAsia"/>
                <w:noProof/>
                <w:lang w:eastAsia="hu-HU"/>
              </w:rPr>
              <w:tab/>
            </w:r>
            <w:r w:rsidR="00BB1443" w:rsidRPr="00933684">
              <w:rPr>
                <w:rStyle w:val="Hiperhivatkozs"/>
                <w:noProof/>
              </w:rPr>
              <w:t>Speciális illetékesség kezelés</w:t>
            </w:r>
            <w:r w:rsidR="00BB1443">
              <w:rPr>
                <w:noProof/>
                <w:webHidden/>
              </w:rPr>
              <w:tab/>
            </w:r>
            <w:r w:rsidR="00BB1443">
              <w:rPr>
                <w:noProof/>
                <w:webHidden/>
              </w:rPr>
              <w:fldChar w:fldCharType="begin"/>
            </w:r>
            <w:r w:rsidR="00BB1443">
              <w:rPr>
                <w:noProof/>
                <w:webHidden/>
              </w:rPr>
              <w:instrText xml:space="preserve"> PAGEREF _Toc505592916 \h </w:instrText>
            </w:r>
            <w:r w:rsidR="00BB1443">
              <w:rPr>
                <w:noProof/>
                <w:webHidden/>
              </w:rPr>
            </w:r>
            <w:r w:rsidR="00BB1443">
              <w:rPr>
                <w:noProof/>
                <w:webHidden/>
              </w:rPr>
              <w:fldChar w:fldCharType="separate"/>
            </w:r>
            <w:r w:rsidR="00BB1443">
              <w:rPr>
                <w:noProof/>
                <w:webHidden/>
              </w:rPr>
              <w:t>4</w:t>
            </w:r>
            <w:r w:rsidR="00BB1443">
              <w:rPr>
                <w:noProof/>
                <w:webHidden/>
              </w:rPr>
              <w:fldChar w:fldCharType="end"/>
            </w:r>
          </w:hyperlink>
          <w:r w:rsidR="00BB1443" w:rsidRPr="00BB1443">
            <w:rPr>
              <w:b/>
              <w:bCs/>
            </w:rPr>
            <w:fldChar w:fldCharType="end"/>
          </w:r>
        </w:p>
      </w:sdtContent>
    </w:sdt>
    <w:p w:rsidR="00BB1443" w:rsidRDefault="00BB1443" w:rsidP="008E7F54">
      <w:pPr>
        <w:spacing w:after="0" w:line="240" w:lineRule="auto"/>
      </w:pPr>
    </w:p>
    <w:p w:rsidR="00BB1443" w:rsidRDefault="00BB1443" w:rsidP="008E7F54">
      <w:pPr>
        <w:spacing w:after="0" w:line="240" w:lineRule="auto"/>
      </w:pPr>
    </w:p>
    <w:p w:rsidR="008E7F54" w:rsidRPr="002B09F2" w:rsidRDefault="008E7F54" w:rsidP="00BB1443">
      <w:pPr>
        <w:pStyle w:val="Cmsor1"/>
      </w:pPr>
      <w:bookmarkStart w:id="0" w:name="_Toc505592914"/>
      <w:r w:rsidRPr="002B09F2">
        <w:t>Szociális hozzájárulási adó mértékének meghatározás</w:t>
      </w:r>
      <w:r w:rsidR="00780A75">
        <w:t>a</w:t>
      </w:r>
      <w:bookmarkEnd w:id="0"/>
    </w:p>
    <w:p w:rsidR="00E22521" w:rsidRDefault="0017307B" w:rsidP="00C336F3">
      <w:pPr>
        <w:spacing w:after="0" w:line="240" w:lineRule="auto"/>
        <w:jc w:val="both"/>
      </w:pPr>
      <w:r>
        <w:t xml:space="preserve">A szociális hozzájárulási adó mértékének változása problémát jelentett az évváltás időszakában elszámolt </w:t>
      </w:r>
      <w:r w:rsidR="00E22521">
        <w:t xml:space="preserve">bérköltségek, valamint a korrekciós tételek kezelése során. </w:t>
      </w:r>
    </w:p>
    <w:p w:rsidR="008E7F54" w:rsidRDefault="00E22521" w:rsidP="00C336F3">
      <w:pPr>
        <w:spacing w:after="0" w:line="240" w:lineRule="auto"/>
        <w:jc w:val="both"/>
      </w:pPr>
      <w:r>
        <w:t xml:space="preserve">Ennek a problémának a kiküszöbölésére a programba felvételre került a </w:t>
      </w:r>
      <w:r w:rsidRPr="00E22521">
        <w:rPr>
          <w:b/>
        </w:rPr>
        <w:t>„Járulékszámításhoz figyelembe veendő dátum”</w:t>
      </w:r>
      <w:r>
        <w:t xml:space="preserve"> mező. Az új mező az Elszámolás/Bérköltség/</w:t>
      </w:r>
      <w:r w:rsidRPr="00E22521">
        <w:rPr>
          <w:b/>
        </w:rPr>
        <w:t xml:space="preserve">Munkavállalók képernyőn került elhelyezésre. </w:t>
      </w:r>
    </w:p>
    <w:p w:rsidR="00E22521" w:rsidRDefault="00E22521" w:rsidP="008E7F54">
      <w:pPr>
        <w:spacing w:after="0" w:line="240" w:lineRule="auto"/>
      </w:pPr>
    </w:p>
    <w:p w:rsidR="00E22521" w:rsidRDefault="00780A75" w:rsidP="002B09F2">
      <w:pPr>
        <w:spacing w:after="0" w:line="240" w:lineRule="auto"/>
        <w:jc w:val="center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1097255</wp:posOffset>
                </wp:positionH>
                <wp:positionV relativeFrom="paragraph">
                  <wp:posOffset>1739036</wp:posOffset>
                </wp:positionV>
                <wp:extent cx="2399055" cy="599847"/>
                <wp:effectExtent l="19050" t="19050" r="20320" b="10160"/>
                <wp:wrapNone/>
                <wp:docPr id="2" name="Ellipsz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9055" cy="599847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317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zis 2" o:spid="_x0000_s1026" style="position:absolute;margin-left:86.4pt;margin-top:136.95pt;width:188.9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" fillcolor="#4f81bd [3204]" strokecolor="red" strokeweight="2.5pt">
                <v:fill opacity="0"/>
              </v:oval>
            </w:pict>
          </mc:Fallback>
        </mc:AlternateContent>
      </w:r>
      <w:r w:rsidR="002B09F2">
        <w:rPr>
          <w:noProof/>
          <w:lang w:eastAsia="hu-HU"/>
        </w:rPr>
        <w:drawing>
          <wp:inline distT="0" distB="0" distL="0" distR="0">
            <wp:extent cx="5365779" cy="3600000"/>
            <wp:effectExtent l="19050" t="19050" r="25400" b="19685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5206" b="18576"/>
                    <a:stretch/>
                  </pic:blipFill>
                  <pic:spPr bwMode="auto">
                    <a:xfrm>
                      <a:off x="0" y="0"/>
                      <a:ext cx="5365779" cy="360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>
                          <a:lumMod val="7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22521" w:rsidRDefault="00E22521" w:rsidP="008E7F54">
      <w:pPr>
        <w:spacing w:after="0" w:line="240" w:lineRule="auto"/>
      </w:pPr>
    </w:p>
    <w:p w:rsidR="0017307B" w:rsidRPr="00CA62F1" w:rsidRDefault="00E22521" w:rsidP="00C336F3">
      <w:pPr>
        <w:spacing w:after="0" w:line="240" w:lineRule="auto"/>
        <w:jc w:val="both"/>
        <w:rPr>
          <w:b/>
        </w:rPr>
      </w:pPr>
      <w:r>
        <w:t xml:space="preserve">A </w:t>
      </w:r>
      <w:r w:rsidR="00373606">
        <w:t>„</w:t>
      </w:r>
      <w:r w:rsidR="00CA62F1" w:rsidRPr="00CA62F1">
        <w:rPr>
          <w:b/>
        </w:rPr>
        <w:t>Névsor generál</w:t>
      </w:r>
      <w:r w:rsidR="00373606">
        <w:rPr>
          <w:b/>
        </w:rPr>
        <w:t>”</w:t>
      </w:r>
      <w:r w:rsidR="00CA62F1" w:rsidRPr="00CA62F1">
        <w:rPr>
          <w:b/>
        </w:rPr>
        <w:t xml:space="preserve"> nyomógomb megnyomása előtt kell</w:t>
      </w:r>
      <w:r w:rsidR="00CA62F1">
        <w:t xml:space="preserve"> a </w:t>
      </w:r>
      <w:r>
        <w:t xml:space="preserve">mezőbe azt a dátumot feltüntetni, amely </w:t>
      </w:r>
      <w:r w:rsidR="00595833" w:rsidRPr="00CA62F1">
        <w:rPr>
          <w:b/>
        </w:rPr>
        <w:t xml:space="preserve">időpontban hatályos szociális hozzájárulási adó mértékével akarják az elszámolásban a hozzájárulást érvényesíteni. </w:t>
      </w:r>
    </w:p>
    <w:p w:rsidR="0017307B" w:rsidRDefault="00595833" w:rsidP="00C336F3">
      <w:pPr>
        <w:spacing w:after="0" w:line="240" w:lineRule="auto"/>
        <w:jc w:val="both"/>
      </w:pPr>
      <w:r>
        <w:t>P</w:t>
      </w:r>
      <w:r w:rsidR="00CA62F1">
        <w:t>éldául, ha f</w:t>
      </w:r>
      <w:r>
        <w:t xml:space="preserve">ebruár hónapban el szeretnének számolni 2017. december hónapban kifizetett munkabért, akkor a Járulékszámításhoz </w:t>
      </w:r>
      <w:proofErr w:type="spellStart"/>
      <w:r>
        <w:t>figy</w:t>
      </w:r>
      <w:proofErr w:type="spellEnd"/>
      <w:r>
        <w:t>. dátum mezőbe 2017</w:t>
      </w:r>
      <w:r w:rsidR="00373606">
        <w:t xml:space="preserve"> évi (pl.: 2017</w:t>
      </w:r>
      <w:r>
        <w:t>.12.01</w:t>
      </w:r>
      <w:r w:rsidR="00373606">
        <w:t>)</w:t>
      </w:r>
      <w:r>
        <w:t xml:space="preserve"> </w:t>
      </w:r>
      <w:r w:rsidR="00373606">
        <w:t>dátumot kell feltüntetni. E</w:t>
      </w:r>
      <w:r>
        <w:t xml:space="preserve">kkor a program a 11 %-os mértékkel számolja ki a járulék összegét. </w:t>
      </w:r>
    </w:p>
    <w:p w:rsidR="00595833" w:rsidRDefault="00595833" w:rsidP="00C336F3">
      <w:pPr>
        <w:spacing w:after="0" w:line="240" w:lineRule="auto"/>
        <w:jc w:val="both"/>
      </w:pPr>
      <w:r>
        <w:t xml:space="preserve">Amennyiben a </w:t>
      </w:r>
      <w:r w:rsidRPr="00373606">
        <w:rPr>
          <w:b/>
        </w:rPr>
        <w:t xml:space="preserve">Járulékszámításhoz </w:t>
      </w:r>
      <w:proofErr w:type="spellStart"/>
      <w:r w:rsidRPr="00373606">
        <w:rPr>
          <w:b/>
        </w:rPr>
        <w:t>figy.dátum</w:t>
      </w:r>
      <w:proofErr w:type="spellEnd"/>
      <w:r w:rsidRPr="00373606">
        <w:rPr>
          <w:b/>
        </w:rPr>
        <w:t xml:space="preserve"> mezőt nem töltik</w:t>
      </w:r>
      <w:r>
        <w:t xml:space="preserve">, akkor </w:t>
      </w:r>
      <w:r w:rsidRPr="00373606">
        <w:rPr>
          <w:b/>
        </w:rPr>
        <w:t xml:space="preserve">az aktuális </w:t>
      </w:r>
      <w:r w:rsidR="00CA62F1" w:rsidRPr="00373606">
        <w:rPr>
          <w:b/>
        </w:rPr>
        <w:t>járulék</w:t>
      </w:r>
      <w:r w:rsidR="00CA62F1">
        <w:t xml:space="preserve"> (jelenleg 9,75 %) </w:t>
      </w:r>
      <w:r w:rsidR="00CA62F1" w:rsidRPr="00373606">
        <w:rPr>
          <w:b/>
        </w:rPr>
        <w:t>mértékével kerül az adóösszege meghatározásra.</w:t>
      </w:r>
      <w:r w:rsidR="00CA62F1">
        <w:t xml:space="preserve"> </w:t>
      </w:r>
    </w:p>
    <w:p w:rsidR="00137674" w:rsidRDefault="00137674">
      <w:r>
        <w:br w:type="page"/>
      </w:r>
    </w:p>
    <w:p w:rsidR="00595833" w:rsidRPr="00C336F3" w:rsidRDefault="00CA62F1" w:rsidP="00C336F3">
      <w:pPr>
        <w:spacing w:after="0" w:line="240" w:lineRule="auto"/>
        <w:jc w:val="both"/>
        <w:rPr>
          <w:b/>
        </w:rPr>
      </w:pPr>
      <w:r w:rsidRPr="00C336F3">
        <w:rPr>
          <w:b/>
        </w:rPr>
        <w:lastRenderedPageBreak/>
        <w:t>Fontos!</w:t>
      </w:r>
    </w:p>
    <w:p w:rsidR="00CA62F1" w:rsidRDefault="00CA62F1" w:rsidP="00C336F3">
      <w:pPr>
        <w:spacing w:after="0" w:line="240" w:lineRule="auto"/>
        <w:jc w:val="both"/>
      </w:pPr>
      <w:r>
        <w:t xml:space="preserve">Korrekciós tételek </w:t>
      </w:r>
      <w:r w:rsidR="00C336F3">
        <w:t xml:space="preserve">rögzítése esetén </w:t>
      </w:r>
      <w:r w:rsidR="00373606">
        <w:t xml:space="preserve">egy elszámoláson belül lehet az előző évi és a tárgyévi mértékkel is számolni. Arra kell </w:t>
      </w:r>
      <w:r w:rsidR="00C336F3">
        <w:t>figyelni</w:t>
      </w:r>
      <w:r w:rsidR="00373606">
        <w:t>,</w:t>
      </w:r>
      <w:r w:rsidR="00C336F3">
        <w:t xml:space="preserve"> hogy eltérő mértékű járulék összeg érvényesít</w:t>
      </w:r>
      <w:r w:rsidR="00373606">
        <w:t>ésénél</w:t>
      </w:r>
      <w:r w:rsidR="00C336F3">
        <w:t xml:space="preserve">, </w:t>
      </w:r>
      <w:r w:rsidR="00373606">
        <w:t xml:space="preserve">módosítani kell a </w:t>
      </w:r>
      <w:r w:rsidR="00C336F3">
        <w:t xml:space="preserve">Járulékszámításhoz </w:t>
      </w:r>
      <w:proofErr w:type="spellStart"/>
      <w:r w:rsidR="00C336F3">
        <w:t>figy.dátum</w:t>
      </w:r>
      <w:proofErr w:type="spellEnd"/>
      <w:r w:rsidR="00C336F3">
        <w:t xml:space="preserve"> mezőbe rögzített dátum</w:t>
      </w:r>
      <w:r w:rsidR="00373606">
        <w:t xml:space="preserve">ot. Fontos, hogy nem elégséges a </w:t>
      </w:r>
      <w:proofErr w:type="gramStart"/>
      <w:r w:rsidR="00373606">
        <w:t xml:space="preserve">dátum </w:t>
      </w:r>
      <w:r w:rsidR="00C336F3">
        <w:t xml:space="preserve"> törlése</w:t>
      </w:r>
      <w:proofErr w:type="gramEnd"/>
      <w:r w:rsidR="00C336F3">
        <w:t xml:space="preserve"> </w:t>
      </w:r>
      <w:r w:rsidR="00AC303B">
        <w:t xml:space="preserve">az </w:t>
      </w:r>
      <w:r w:rsidR="00C336F3">
        <w:t>érvény</w:t>
      </w:r>
      <w:r w:rsidR="00AC303B">
        <w:t xml:space="preserve">telenítéshez, </w:t>
      </w:r>
      <w:r w:rsidR="00C336F3">
        <w:t>hanem ki kell lépni a névsorból</w:t>
      </w:r>
      <w:r w:rsidR="00AC303B">
        <w:t xml:space="preserve">. A visszalépéskor az alkalmazni kívánt mértéknek megfelelő dátumot kell rögzíteni, vagy </w:t>
      </w:r>
      <w:proofErr w:type="gramStart"/>
      <w:r w:rsidR="00AC303B">
        <w:t>dátum rögzítés</w:t>
      </w:r>
      <w:proofErr w:type="gramEnd"/>
      <w:r w:rsidR="00AC303B">
        <w:t xml:space="preserve"> nélkül az aktuális (9,75 %) mérték kerül alkalmazásra. </w:t>
      </w:r>
    </w:p>
    <w:p w:rsidR="00AC303B" w:rsidRDefault="00AC303B" w:rsidP="00C336F3">
      <w:pPr>
        <w:spacing w:after="0" w:line="240" w:lineRule="auto"/>
        <w:jc w:val="both"/>
      </w:pPr>
    </w:p>
    <w:p w:rsidR="00AC303B" w:rsidRDefault="00AC303B" w:rsidP="00C336F3">
      <w:pPr>
        <w:spacing w:after="0" w:line="240" w:lineRule="auto"/>
        <w:jc w:val="both"/>
      </w:pPr>
      <w:r w:rsidRPr="003E7AF7">
        <w:rPr>
          <w:b/>
        </w:rPr>
        <w:t xml:space="preserve">Felhívjuk a figyelmet </w:t>
      </w:r>
      <w:r>
        <w:t xml:space="preserve">arra, hogy jelenleg </w:t>
      </w:r>
      <w:r w:rsidRPr="003E7AF7">
        <w:rPr>
          <w:b/>
        </w:rPr>
        <w:t xml:space="preserve">a program a különbözet számítást még nem </w:t>
      </w:r>
      <w:proofErr w:type="gramStart"/>
      <w:r w:rsidRPr="003E7AF7">
        <w:rPr>
          <w:b/>
        </w:rPr>
        <w:t>tudja</w:t>
      </w:r>
      <w:proofErr w:type="gramEnd"/>
      <w:r w:rsidRPr="003E7AF7">
        <w:rPr>
          <w:b/>
        </w:rPr>
        <w:t xml:space="preserve"> kezeli.</w:t>
      </w:r>
      <w:r>
        <w:t xml:space="preserve"> Tehát, ha a 2017 évi elszámolásba olyan korrekció kerül átvezetésre</w:t>
      </w:r>
      <w:r w:rsidR="00E6172B">
        <w:t>,</w:t>
      </w:r>
      <w:r>
        <w:t xml:space="preserve"> ahol 2018-ban kifizetés történik a program a teljes időtartamra vonatkozóan kezeli a dátum mezőben meghatározott évnek megfelelő mértéket. Ez annyit jelent, hogy ha egy 2017 éves időszakra történt kifizetés 2018 évben a program a teljes időszakra azt a járulékmértéket fogja alkalmazni, amelyet a Járulékszámításhoz </w:t>
      </w:r>
      <w:proofErr w:type="spellStart"/>
      <w:r>
        <w:t>figy.dátum</w:t>
      </w:r>
      <w:proofErr w:type="spellEnd"/>
      <w:r>
        <w:t xml:space="preserve"> mezővel meghatároztunk. Nem tudja a 2018 évi kifizetésre vonatkozóan az általános szabályoknak megfelelő 9,75 %-os mértékes meghatározni</w:t>
      </w:r>
      <w:r w:rsidR="003E7AF7">
        <w:t>.</w:t>
      </w:r>
      <w:r>
        <w:t xml:space="preserve"> </w:t>
      </w:r>
    </w:p>
    <w:p w:rsidR="003E7AF7" w:rsidRDefault="003E7AF7" w:rsidP="00C336F3">
      <w:pPr>
        <w:spacing w:after="0" w:line="240" w:lineRule="auto"/>
        <w:jc w:val="both"/>
      </w:pPr>
    </w:p>
    <w:p w:rsidR="00BB1443" w:rsidRDefault="00BB1443" w:rsidP="00C336F3">
      <w:pPr>
        <w:spacing w:after="0" w:line="240" w:lineRule="auto"/>
        <w:jc w:val="both"/>
      </w:pPr>
    </w:p>
    <w:p w:rsidR="008E7F54" w:rsidRPr="002B09F2" w:rsidRDefault="008E7F54" w:rsidP="00BB1443">
      <w:pPr>
        <w:pStyle w:val="Cmsor1"/>
        <w:rPr>
          <w:szCs w:val="24"/>
          <w:u w:val="single"/>
        </w:rPr>
      </w:pPr>
      <w:bookmarkStart w:id="1" w:name="_Toc505592915"/>
      <w:r w:rsidRPr="002B09F2">
        <w:rPr>
          <w:szCs w:val="24"/>
          <w:u w:val="single"/>
        </w:rPr>
        <w:t>2017. évi el nem számolt tételek átcsoportosítása</w:t>
      </w:r>
      <w:bookmarkEnd w:id="1"/>
    </w:p>
    <w:p w:rsidR="00D0770B" w:rsidRDefault="00DF4015" w:rsidP="00D0770B">
      <w:pPr>
        <w:spacing w:after="0" w:line="240" w:lineRule="auto"/>
        <w:jc w:val="both"/>
      </w:pPr>
      <w:r>
        <w:t>A Hatósági szerződés menüpont alatt a közvetlen költség adatok képernyőn egy új oszlopban kerültek feltüntetésre azok a 2017 évi el nem számolt tételek, amelyek áthozatalra kerültek 2018 évre.</w:t>
      </w:r>
      <w:r w:rsidR="00981B53">
        <w:t xml:space="preserve"> </w:t>
      </w:r>
      <w:r w:rsidR="00D0770B">
        <w:t>H</w:t>
      </w:r>
      <w:r w:rsidR="00D0770B">
        <w:t xml:space="preserve">a nem az adott cikkre </w:t>
      </w:r>
      <w:r w:rsidR="00D0770B">
        <w:t>szeretné az összeget elszámolni, akkor el kell végezni az átcsoportosítást másik cikkre vagy másik jogcímre.</w:t>
      </w:r>
    </w:p>
    <w:p w:rsidR="00D0770B" w:rsidRDefault="00D0770B" w:rsidP="00D0770B">
      <w:pPr>
        <w:spacing w:after="0" w:line="240" w:lineRule="auto"/>
        <w:jc w:val="both"/>
      </w:pPr>
    </w:p>
    <w:p w:rsidR="00DF4015" w:rsidRDefault="00AE4B87" w:rsidP="002B09F2">
      <w:pPr>
        <w:spacing w:after="0" w:line="240" w:lineRule="auto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5054778</wp:posOffset>
                </wp:positionH>
                <wp:positionV relativeFrom="paragraph">
                  <wp:posOffset>2033803</wp:posOffset>
                </wp:positionV>
                <wp:extent cx="790041" cy="1192378"/>
                <wp:effectExtent l="19050" t="19050" r="10160" b="27305"/>
                <wp:wrapNone/>
                <wp:docPr id="3" name="Téglalap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041" cy="1192378"/>
                        </a:xfrm>
                        <a:prstGeom prst="rect">
                          <a:avLst/>
                        </a:prstGeom>
                        <a:solidFill>
                          <a:srgbClr val="FF0000">
                            <a:alpha val="0"/>
                          </a:srgbClr>
                        </a:solidFill>
                        <a:ln w="317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églalap 3" o:spid="_x0000_s1026" style="position:absolute;margin-left:398pt;margin-top:160.15pt;width:62.2pt;height:93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" fillcolor="red" strokecolor="red" strokeweight="2.5pt">
                <v:fill opacity="0"/>
              </v:rect>
            </w:pict>
          </mc:Fallback>
        </mc:AlternateContent>
      </w:r>
      <w:r w:rsidR="00DF4015">
        <w:rPr>
          <w:noProof/>
          <w:lang w:eastAsia="hu-HU"/>
        </w:rPr>
        <w:drawing>
          <wp:inline distT="0" distB="0" distL="0" distR="0" wp14:anchorId="01243D35" wp14:editId="664CC87C">
            <wp:extent cx="5829051" cy="3257550"/>
            <wp:effectExtent l="19050" t="19050" r="19685" b="1905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r="21487" b="17789"/>
                    <a:stretch/>
                  </pic:blipFill>
                  <pic:spPr bwMode="auto">
                    <a:xfrm>
                      <a:off x="0" y="0"/>
                      <a:ext cx="5825520" cy="3255577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lumMod val="7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7307B" w:rsidRDefault="0017307B" w:rsidP="002B09F2">
      <w:pPr>
        <w:pStyle w:val="Listaszerbekezds"/>
        <w:spacing w:after="0" w:line="240" w:lineRule="auto"/>
      </w:pPr>
    </w:p>
    <w:p w:rsidR="002B09F2" w:rsidRDefault="002B09F2" w:rsidP="00981B53">
      <w:pPr>
        <w:spacing w:after="0" w:line="240" w:lineRule="auto"/>
        <w:jc w:val="both"/>
      </w:pPr>
      <w:r>
        <w:t xml:space="preserve">Az </w:t>
      </w:r>
      <w:r w:rsidRPr="00137674">
        <w:rPr>
          <w:b/>
        </w:rPr>
        <w:t>átcsoportosítás elvégzéséhez indítani kell</w:t>
      </w:r>
      <w:r>
        <w:t xml:space="preserve"> a hatályos hatósági szerződésre </w:t>
      </w:r>
      <w:r w:rsidRPr="00137674">
        <w:rPr>
          <w:b/>
        </w:rPr>
        <w:t>egy módosítást.</w:t>
      </w:r>
      <w:r>
        <w:t xml:space="preserve"> A </w:t>
      </w:r>
      <w:r w:rsidR="002446B6">
        <w:t xml:space="preserve">módosítás indítását követően át kell lépni a </w:t>
      </w:r>
      <w:r>
        <w:t>Tervezet fül</w:t>
      </w:r>
      <w:r w:rsidR="002446B6">
        <w:t xml:space="preserve">re, ahol a Terv állapotú ügyben kell tovább dolgozni. </w:t>
      </w:r>
    </w:p>
    <w:p w:rsidR="002446B6" w:rsidRDefault="002446B6" w:rsidP="00981B53">
      <w:pPr>
        <w:spacing w:after="0" w:line="240" w:lineRule="auto"/>
        <w:jc w:val="both"/>
      </w:pPr>
      <w:r>
        <w:t xml:space="preserve">A </w:t>
      </w:r>
      <w:r w:rsidRPr="00137674">
        <w:rPr>
          <w:b/>
        </w:rPr>
        <w:t>közvetlen költségek képernyőn</w:t>
      </w:r>
      <w:r>
        <w:t xml:space="preserve"> a lista menüsorába felkerült egy </w:t>
      </w:r>
      <w:r w:rsidRPr="00137674">
        <w:rPr>
          <w:b/>
        </w:rPr>
        <w:t xml:space="preserve">új nyomógomb: Lezárt évi </w:t>
      </w:r>
      <w:proofErr w:type="spellStart"/>
      <w:r w:rsidRPr="00137674">
        <w:rPr>
          <w:b/>
        </w:rPr>
        <w:t>ktg</w:t>
      </w:r>
      <w:proofErr w:type="spellEnd"/>
      <w:r w:rsidRPr="00137674">
        <w:rPr>
          <w:b/>
        </w:rPr>
        <w:t>. átcsoportosítás.</w:t>
      </w:r>
      <w:r>
        <w:t xml:space="preserve"> Ennek a nyomógombnak a segítségével lehet a költségeket átcsoportosítani. </w:t>
      </w:r>
    </w:p>
    <w:p w:rsidR="00981B53" w:rsidRDefault="002446B6" w:rsidP="00981B53">
      <w:pPr>
        <w:spacing w:after="0" w:line="240" w:lineRule="auto"/>
        <w:jc w:val="both"/>
      </w:pPr>
      <w:r w:rsidRPr="00137674">
        <w:rPr>
          <w:b/>
        </w:rPr>
        <w:t xml:space="preserve">Rá kell állni arra a sorra, amelyben szerepel </w:t>
      </w:r>
      <w:r w:rsidR="003B31DE">
        <w:rPr>
          <w:b/>
        </w:rPr>
        <w:t xml:space="preserve">az a </w:t>
      </w:r>
      <w:r w:rsidRPr="00137674">
        <w:rPr>
          <w:b/>
        </w:rPr>
        <w:t xml:space="preserve">2017 évi ki nem fizetett tétel </w:t>
      </w:r>
      <w:r w:rsidR="003B31DE">
        <w:rPr>
          <w:b/>
        </w:rPr>
        <w:t>amelyet</w:t>
      </w:r>
      <w:r w:rsidRPr="00137674">
        <w:rPr>
          <w:b/>
        </w:rPr>
        <w:t xml:space="preserve"> át akar</w:t>
      </w:r>
      <w:r w:rsidR="003B31DE">
        <w:rPr>
          <w:b/>
        </w:rPr>
        <w:t>nak</w:t>
      </w:r>
      <w:bookmarkStart w:id="2" w:name="_GoBack"/>
      <w:bookmarkEnd w:id="2"/>
      <w:r w:rsidRPr="00137674">
        <w:rPr>
          <w:b/>
        </w:rPr>
        <w:t xml:space="preserve"> helyezni</w:t>
      </w:r>
      <w:r>
        <w:t xml:space="preserve"> másik cikkre</w:t>
      </w:r>
      <w:r w:rsidR="00E6172B">
        <w:t>,</w:t>
      </w:r>
      <w:r>
        <w:t xml:space="preserve"> vagy jogcímr</w:t>
      </w:r>
      <w:r w:rsidR="00981B53">
        <w:t xml:space="preserve">e </w:t>
      </w:r>
      <w:r w:rsidR="00981B53" w:rsidRPr="00137674">
        <w:rPr>
          <w:b/>
        </w:rPr>
        <w:t xml:space="preserve">és meg kell nyomni a Lezárt évi </w:t>
      </w:r>
      <w:proofErr w:type="spellStart"/>
      <w:r w:rsidR="00981B53" w:rsidRPr="00137674">
        <w:rPr>
          <w:b/>
        </w:rPr>
        <w:t>ktg</w:t>
      </w:r>
      <w:proofErr w:type="spellEnd"/>
      <w:r w:rsidR="00981B53" w:rsidRPr="00137674">
        <w:rPr>
          <w:b/>
        </w:rPr>
        <w:t>. átcsoportosítás nyomógombot</w:t>
      </w:r>
      <w:r w:rsidR="00981B53">
        <w:t xml:space="preserve">. </w:t>
      </w:r>
    </w:p>
    <w:p w:rsidR="00981B53" w:rsidRDefault="00981B53" w:rsidP="00981B53">
      <w:pPr>
        <w:spacing w:after="0" w:line="240" w:lineRule="auto"/>
        <w:jc w:val="both"/>
      </w:pPr>
    </w:p>
    <w:p w:rsidR="002B09F2" w:rsidRDefault="00981B53" w:rsidP="00981B53">
      <w:pPr>
        <w:pStyle w:val="Listaszerbekezds"/>
        <w:spacing w:after="0" w:line="240" w:lineRule="auto"/>
        <w:ind w:left="0"/>
      </w:pPr>
      <w:r>
        <w:rPr>
          <w:noProof/>
          <w:lang w:eastAsia="hu-HU"/>
        </w:rPr>
        <w:drawing>
          <wp:inline distT="0" distB="0" distL="0" distR="0" wp14:anchorId="41FCD878" wp14:editId="303650B6">
            <wp:extent cx="5760720" cy="3074507"/>
            <wp:effectExtent l="0" t="0" r="0" b="0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74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1B53" w:rsidRDefault="00981B53" w:rsidP="00981B53">
      <w:pPr>
        <w:pStyle w:val="Listaszerbekezds"/>
        <w:spacing w:after="0" w:line="240" w:lineRule="auto"/>
        <w:ind w:left="0"/>
        <w:rPr>
          <w:noProof/>
          <w:lang w:eastAsia="hu-HU"/>
        </w:rPr>
      </w:pPr>
    </w:p>
    <w:p w:rsidR="00D53FDC" w:rsidRDefault="00981B53" w:rsidP="00D53FDC">
      <w:pPr>
        <w:pStyle w:val="Listaszerbekezds"/>
        <w:spacing w:after="0" w:line="240" w:lineRule="auto"/>
        <w:ind w:left="0"/>
        <w:jc w:val="both"/>
        <w:rPr>
          <w:noProof/>
          <w:lang w:eastAsia="hu-HU"/>
        </w:rPr>
      </w:pPr>
      <w:r>
        <w:rPr>
          <w:noProof/>
          <w:lang w:eastAsia="hu-HU"/>
        </w:rPr>
        <w:t xml:space="preserve">A felugró ablakban lehet </w:t>
      </w:r>
      <w:r w:rsidR="003E7AF7">
        <w:rPr>
          <w:noProof/>
          <w:lang w:eastAsia="hu-HU"/>
        </w:rPr>
        <w:t>meg</w:t>
      </w:r>
      <w:r>
        <w:rPr>
          <w:noProof/>
          <w:lang w:eastAsia="hu-HU"/>
        </w:rPr>
        <w:t xml:space="preserve">határozni, hogy a mezőben található összegből mennyit kívánnak átcsoportosítani. </w:t>
      </w:r>
      <w:r w:rsidRPr="00137674">
        <w:rPr>
          <w:b/>
          <w:noProof/>
          <w:lang w:eastAsia="hu-HU"/>
        </w:rPr>
        <w:t>Az összeg elfogadása</w:t>
      </w:r>
      <w:r>
        <w:rPr>
          <w:noProof/>
          <w:lang w:eastAsia="hu-HU"/>
        </w:rPr>
        <w:t xml:space="preserve"> után a listában </w:t>
      </w:r>
      <w:r w:rsidR="00D53FDC">
        <w:rPr>
          <w:noProof/>
          <w:lang w:eastAsia="hu-HU"/>
        </w:rPr>
        <w:t xml:space="preserve">megjelenik egy </w:t>
      </w:r>
      <w:r w:rsidR="00D53FDC" w:rsidRPr="00137674">
        <w:rPr>
          <w:b/>
          <w:noProof/>
          <w:lang w:eastAsia="hu-HU"/>
        </w:rPr>
        <w:t>új technikai sor, melyben negatív értékként jelenik meg az átcsoportosítandó összeg.</w:t>
      </w:r>
      <w:r w:rsidR="00D53FDC">
        <w:rPr>
          <w:noProof/>
          <w:lang w:eastAsia="hu-HU"/>
        </w:rPr>
        <w:t xml:space="preserve"> A 2017 évi ki nem fizetett összegből levonásra kerül az átcsoportosított összeg.</w:t>
      </w:r>
    </w:p>
    <w:p w:rsidR="00981B53" w:rsidRDefault="00981B53" w:rsidP="00981B53">
      <w:pPr>
        <w:pStyle w:val="Listaszerbekezds"/>
        <w:spacing w:after="0" w:line="240" w:lineRule="auto"/>
        <w:ind w:left="0"/>
        <w:rPr>
          <w:noProof/>
          <w:lang w:eastAsia="hu-HU"/>
        </w:rPr>
      </w:pPr>
    </w:p>
    <w:p w:rsidR="00981B53" w:rsidRDefault="00AE4B87" w:rsidP="00981B53">
      <w:pPr>
        <w:pStyle w:val="Listaszerbekezds"/>
        <w:spacing w:after="0" w:line="240" w:lineRule="auto"/>
        <w:ind w:left="0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1836090</wp:posOffset>
                </wp:positionH>
                <wp:positionV relativeFrom="paragraph">
                  <wp:posOffset>1996515</wp:posOffset>
                </wp:positionV>
                <wp:extent cx="3562502" cy="248209"/>
                <wp:effectExtent l="19050" t="19050" r="19050" b="19050"/>
                <wp:wrapNone/>
                <wp:docPr id="9" name="Ellipsz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502" cy="248209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317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zis 9" o:spid="_x0000_s1026" style="position:absolute;margin-left:144.55pt;margin-top:157.2pt;width:280.5pt;height:19.5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" fillcolor="#4f81bd [3204]" strokecolor="red" strokeweight="2.5pt">
                <v:fill opacity="0"/>
              </v:oval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4915789</wp:posOffset>
                </wp:positionH>
                <wp:positionV relativeFrom="paragraph">
                  <wp:posOffset>1294257</wp:posOffset>
                </wp:positionV>
                <wp:extent cx="797052" cy="248717"/>
                <wp:effectExtent l="19050" t="19050" r="22225" b="18415"/>
                <wp:wrapNone/>
                <wp:docPr id="8" name="Ellipsz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7052" cy="248717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317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zis 8" o:spid="_x0000_s1026" style="position:absolute;margin-left:387.05pt;margin-top:101.9pt;width:62.75pt;height:19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" fillcolor="#4f81bd [3204]" strokecolor="red" strokeweight="2.5pt">
                <v:fill opacity="0"/>
              </v:oval>
            </w:pict>
          </mc:Fallback>
        </mc:AlternateContent>
      </w:r>
      <w:r w:rsidR="00981B53">
        <w:rPr>
          <w:noProof/>
          <w:lang w:eastAsia="hu-HU"/>
        </w:rPr>
        <w:drawing>
          <wp:inline distT="0" distB="0" distL="0" distR="0" wp14:anchorId="352754CC" wp14:editId="7AD3E684">
            <wp:extent cx="2724150" cy="3075523"/>
            <wp:effectExtent l="19050" t="19050" r="19050" b="10795"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2314" r="50413"/>
                    <a:stretch/>
                  </pic:blipFill>
                  <pic:spPr bwMode="auto">
                    <a:xfrm>
                      <a:off x="0" y="0"/>
                      <a:ext cx="2723250" cy="3074507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lumMod val="7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81B53">
        <w:rPr>
          <w:noProof/>
          <w:lang w:eastAsia="hu-HU"/>
        </w:rPr>
        <w:drawing>
          <wp:inline distT="0" distB="0" distL="0" distR="0" wp14:anchorId="4098211E" wp14:editId="4090EBFB">
            <wp:extent cx="2867025" cy="3075524"/>
            <wp:effectExtent l="19050" t="19050" r="9525" b="1079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l="44959" r="5289"/>
                    <a:stretch/>
                  </pic:blipFill>
                  <pic:spPr bwMode="auto">
                    <a:xfrm>
                      <a:off x="0" y="0"/>
                      <a:ext cx="2866077" cy="3074507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lumMod val="7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81B53" w:rsidRDefault="00981B53" w:rsidP="00D53FDC">
      <w:pPr>
        <w:spacing w:after="0" w:line="240" w:lineRule="auto"/>
      </w:pPr>
    </w:p>
    <w:p w:rsidR="00D53FDC" w:rsidRPr="00D53FDC" w:rsidRDefault="00D53FDC" w:rsidP="00D53FDC">
      <w:pPr>
        <w:spacing w:after="0" w:line="240" w:lineRule="auto"/>
        <w:rPr>
          <w:b/>
          <w:color w:val="FF0000"/>
        </w:rPr>
      </w:pPr>
      <w:r w:rsidRPr="00D53FDC">
        <w:rPr>
          <w:b/>
          <w:color w:val="FF0000"/>
        </w:rPr>
        <w:t>FONTOS!</w:t>
      </w:r>
    </w:p>
    <w:p w:rsidR="00D53FDC" w:rsidRPr="00BB1443" w:rsidRDefault="00D53FDC" w:rsidP="00D773AB">
      <w:pPr>
        <w:spacing w:after="0" w:line="240" w:lineRule="auto"/>
        <w:jc w:val="both"/>
        <w:rPr>
          <w:b/>
        </w:rPr>
      </w:pPr>
      <w:r w:rsidRPr="00BB1443">
        <w:rPr>
          <w:b/>
        </w:rPr>
        <w:t>Egy elszámoláson belül kell az átcsoportosítást és az ismételt leköltést elvégezni.</w:t>
      </w:r>
      <w:r>
        <w:t xml:space="preserve"> Azon összegek, amelyek átcsoportosításra kerülnek, de </w:t>
      </w:r>
      <w:r w:rsidRPr="00BB1443">
        <w:rPr>
          <w:b/>
        </w:rPr>
        <w:t>nem lesznek cikkhez rendelve ismételten lekötve</w:t>
      </w:r>
      <w:r>
        <w:t xml:space="preserve">, azok </w:t>
      </w:r>
      <w:r w:rsidRPr="00BB1443">
        <w:rPr>
          <w:b/>
        </w:rPr>
        <w:t>felszabadításra kerülnek és a továbbiakban azon összegekre elszámolás nem nyújtható be.</w:t>
      </w:r>
    </w:p>
    <w:p w:rsidR="00D53FDC" w:rsidRPr="00D773AB" w:rsidRDefault="00D53FDC" w:rsidP="00D53FDC">
      <w:pPr>
        <w:spacing w:after="0" w:line="240" w:lineRule="auto"/>
      </w:pPr>
    </w:p>
    <w:p w:rsidR="00BB1443" w:rsidRPr="00D773AB" w:rsidRDefault="00BB1443" w:rsidP="00D53FDC">
      <w:pPr>
        <w:spacing w:after="0" w:line="240" w:lineRule="auto"/>
      </w:pPr>
    </w:p>
    <w:p w:rsidR="0017307B" w:rsidRDefault="00BB1443" w:rsidP="00BB1443">
      <w:pPr>
        <w:pStyle w:val="Cmsor1"/>
        <w:rPr>
          <w:szCs w:val="24"/>
          <w:u w:val="single"/>
        </w:rPr>
      </w:pPr>
      <w:bookmarkStart w:id="3" w:name="_Toc505592916"/>
      <w:r w:rsidRPr="00BB1443">
        <w:rPr>
          <w:szCs w:val="24"/>
          <w:u w:val="single"/>
        </w:rPr>
        <w:lastRenderedPageBreak/>
        <w:t>Speciális illetékesség kezelés</w:t>
      </w:r>
      <w:bookmarkEnd w:id="3"/>
    </w:p>
    <w:p w:rsidR="00BB1443" w:rsidRPr="00BB1443" w:rsidRDefault="00BB1443" w:rsidP="00137674">
      <w:pPr>
        <w:spacing w:after="0" w:line="240" w:lineRule="auto"/>
        <w:jc w:val="both"/>
        <w:rPr>
          <w:b/>
        </w:rPr>
      </w:pPr>
      <w:r w:rsidRPr="00BB1443">
        <w:t xml:space="preserve">Hosszabb időtartamú közfoglalkoztatási kérelmet benyújtó budapesti foglalkoztatók esetében </w:t>
      </w:r>
      <w:r w:rsidRPr="00BB1443">
        <w:rPr>
          <w:b/>
        </w:rPr>
        <w:t>a kérelem új kérdéssel egészült ki: ''Hajléktalant kíván-e foglalkoztatni''.</w:t>
      </w:r>
    </w:p>
    <w:p w:rsidR="00BB1443" w:rsidRPr="00BB1443" w:rsidRDefault="00BB1443" w:rsidP="00137674">
      <w:pPr>
        <w:spacing w:after="0" w:line="240" w:lineRule="auto"/>
        <w:jc w:val="both"/>
      </w:pPr>
      <w:r w:rsidRPr="00BB1443">
        <w:t xml:space="preserve">Amennyiben a válasz </w:t>
      </w:r>
      <w:r w:rsidRPr="00BB1443">
        <w:rPr>
          <w:b/>
        </w:rPr>
        <w:t>''igen'' az illetékessé</w:t>
      </w:r>
      <w:r>
        <w:rPr>
          <w:b/>
        </w:rPr>
        <w:t xml:space="preserve">g a 0118-as kerületi hivatalhoz </w:t>
      </w:r>
      <w:r w:rsidRPr="00BB1443">
        <w:rPr>
          <w:b/>
        </w:rPr>
        <w:t>kerül beállításra</w:t>
      </w:r>
      <w:r w:rsidRPr="00BB1443">
        <w:t>, ha ''nem'' a válasz akkor továbbra is a székhely/telephely címe alapján kerül az illetékesség meghatározásra.</w:t>
      </w:r>
    </w:p>
    <w:p w:rsidR="00BB1443" w:rsidRPr="00BB1443" w:rsidRDefault="00BB1443" w:rsidP="00BB1443">
      <w:pPr>
        <w:spacing w:after="0" w:line="240" w:lineRule="auto"/>
        <w:jc w:val="both"/>
        <w:rPr>
          <w:sz w:val="24"/>
          <w:szCs w:val="24"/>
          <w:u w:val="single"/>
        </w:rPr>
      </w:pPr>
    </w:p>
    <w:sectPr w:rsidR="00BB1443" w:rsidRPr="00BB1443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92B" w:rsidRDefault="00F7292B" w:rsidP="00BB1443">
      <w:pPr>
        <w:spacing w:after="0" w:line="240" w:lineRule="auto"/>
      </w:pPr>
      <w:r>
        <w:separator/>
      </w:r>
    </w:p>
  </w:endnote>
  <w:endnote w:type="continuationSeparator" w:id="0">
    <w:p w:rsidR="00F7292B" w:rsidRDefault="00F7292B" w:rsidP="00BB1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5644664"/>
      <w:docPartObj>
        <w:docPartGallery w:val="Page Numbers (Bottom of Page)"/>
        <w:docPartUnique/>
      </w:docPartObj>
    </w:sdtPr>
    <w:sdtEndPr/>
    <w:sdtContent>
      <w:p w:rsidR="00BB1443" w:rsidRDefault="00BB1443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31DE">
          <w:rPr>
            <w:noProof/>
          </w:rPr>
          <w:t>3</w:t>
        </w:r>
        <w:r>
          <w:fldChar w:fldCharType="end"/>
        </w:r>
      </w:p>
    </w:sdtContent>
  </w:sdt>
  <w:p w:rsidR="00BB1443" w:rsidRDefault="00BB144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92B" w:rsidRDefault="00F7292B" w:rsidP="00BB1443">
      <w:pPr>
        <w:spacing w:after="0" w:line="240" w:lineRule="auto"/>
      </w:pPr>
      <w:r>
        <w:separator/>
      </w:r>
    </w:p>
  </w:footnote>
  <w:footnote w:type="continuationSeparator" w:id="0">
    <w:p w:rsidR="00F7292B" w:rsidRDefault="00F7292B" w:rsidP="00BB14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E5BA3"/>
    <w:multiLevelType w:val="hybridMultilevel"/>
    <w:tmpl w:val="8FF08144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D3021B3"/>
    <w:multiLevelType w:val="hybridMultilevel"/>
    <w:tmpl w:val="5F5EF696"/>
    <w:lvl w:ilvl="0" w:tplc="7E6EDF5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FF" w:themeColor="hyperlink"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9CD5EEC"/>
    <w:multiLevelType w:val="hybridMultilevel"/>
    <w:tmpl w:val="A3907CBE"/>
    <w:lvl w:ilvl="0" w:tplc="4A38C470">
      <w:start w:val="1"/>
      <w:numFmt w:val="decimal"/>
      <w:pStyle w:val="Cmsor1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2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F54"/>
    <w:rsid w:val="00100A47"/>
    <w:rsid w:val="00137674"/>
    <w:rsid w:val="0017307B"/>
    <w:rsid w:val="00205E46"/>
    <w:rsid w:val="002446B6"/>
    <w:rsid w:val="002B09F2"/>
    <w:rsid w:val="00373606"/>
    <w:rsid w:val="003B31DE"/>
    <w:rsid w:val="003E7AF7"/>
    <w:rsid w:val="00484E1A"/>
    <w:rsid w:val="00595833"/>
    <w:rsid w:val="00616156"/>
    <w:rsid w:val="00780A75"/>
    <w:rsid w:val="008E7F54"/>
    <w:rsid w:val="00981B53"/>
    <w:rsid w:val="00AC303B"/>
    <w:rsid w:val="00AE4B87"/>
    <w:rsid w:val="00BB1443"/>
    <w:rsid w:val="00C336F3"/>
    <w:rsid w:val="00CA62F1"/>
    <w:rsid w:val="00CB57F9"/>
    <w:rsid w:val="00D0770B"/>
    <w:rsid w:val="00D53FDC"/>
    <w:rsid w:val="00D773AB"/>
    <w:rsid w:val="00DE279C"/>
    <w:rsid w:val="00DF4015"/>
    <w:rsid w:val="00E22521"/>
    <w:rsid w:val="00E6172B"/>
    <w:rsid w:val="00F72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BB1443"/>
    <w:pPr>
      <w:keepNext/>
      <w:keepLines/>
      <w:numPr>
        <w:numId w:val="2"/>
      </w:numPr>
      <w:spacing w:after="0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E7F54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E22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22521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BB1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B1443"/>
  </w:style>
  <w:style w:type="paragraph" w:styleId="llb">
    <w:name w:val="footer"/>
    <w:basedOn w:val="Norml"/>
    <w:link w:val="llbChar"/>
    <w:uiPriority w:val="99"/>
    <w:unhideWhenUsed/>
    <w:rsid w:val="00BB1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B1443"/>
  </w:style>
  <w:style w:type="character" w:customStyle="1" w:styleId="Cmsor1Char">
    <w:name w:val="Címsor 1 Char"/>
    <w:basedOn w:val="Bekezdsalapbettpusa"/>
    <w:link w:val="Cmsor1"/>
    <w:uiPriority w:val="9"/>
    <w:rsid w:val="00BB1443"/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BB1443"/>
    <w:pPr>
      <w:outlineLvl w:val="9"/>
    </w:pPr>
    <w:rPr>
      <w:lang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BB1443"/>
    <w:pPr>
      <w:spacing w:after="100"/>
    </w:pPr>
  </w:style>
  <w:style w:type="character" w:styleId="Hiperhivatkozs">
    <w:name w:val="Hyperlink"/>
    <w:basedOn w:val="Bekezdsalapbettpusa"/>
    <w:uiPriority w:val="99"/>
    <w:unhideWhenUsed/>
    <w:rsid w:val="00BB14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BB1443"/>
    <w:pPr>
      <w:keepNext/>
      <w:keepLines/>
      <w:numPr>
        <w:numId w:val="2"/>
      </w:numPr>
      <w:spacing w:after="0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E7F54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E22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22521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BB1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B1443"/>
  </w:style>
  <w:style w:type="paragraph" w:styleId="llb">
    <w:name w:val="footer"/>
    <w:basedOn w:val="Norml"/>
    <w:link w:val="llbChar"/>
    <w:uiPriority w:val="99"/>
    <w:unhideWhenUsed/>
    <w:rsid w:val="00BB1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B1443"/>
  </w:style>
  <w:style w:type="character" w:customStyle="1" w:styleId="Cmsor1Char">
    <w:name w:val="Címsor 1 Char"/>
    <w:basedOn w:val="Bekezdsalapbettpusa"/>
    <w:link w:val="Cmsor1"/>
    <w:uiPriority w:val="9"/>
    <w:rsid w:val="00BB1443"/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BB1443"/>
    <w:pPr>
      <w:outlineLvl w:val="9"/>
    </w:pPr>
    <w:rPr>
      <w:lang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BB1443"/>
    <w:pPr>
      <w:spacing w:after="100"/>
    </w:pPr>
  </w:style>
  <w:style w:type="character" w:styleId="Hiperhivatkozs">
    <w:name w:val="Hyperlink"/>
    <w:basedOn w:val="Bekezdsalapbettpusa"/>
    <w:uiPriority w:val="99"/>
    <w:unhideWhenUsed/>
    <w:rsid w:val="00BB14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9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36D2A-62B0-4BD8-8B30-566D5BA3D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591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Varga Szidónia</dc:creator>
  <cp:lastModifiedBy>Varga Szidónia</cp:lastModifiedBy>
  <cp:revision>8</cp:revision>
  <dcterms:created xsi:type="dcterms:W3CDTF">2018-02-05T07:26:00Z</dcterms:created>
  <dcterms:modified xsi:type="dcterms:W3CDTF">2018-02-05T10:46:00Z</dcterms:modified>
</cp:coreProperties>
</file>